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Финансовое обеспечение образовательной деятельности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Финансовое обеспечение АНО ПО «Колледж КЭСИ» осуществляется из внебюджетных источников. Финансирование из бюджета не предусмотрено.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Денежные средства Колледжа учитываются и используются исключительно для выполнения поставленных перед ним 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елей, согласно уставной деятельности, в том числе, на материально-техническое обеспечение учебного процесса, создание необходимых условий сотрудникам колледжа для повышения производительности труда, своевременную и в полном объеме выплату заработной платы.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Колледж предоставляет платные образовательные услуги, стоимость которых определяется затратами Колледжа на образовательный процесс.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В 202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г. Колледж планирует получить доход, достаточный для обеспечения образовательного процесса и полноценной финансово-хозяйственной деятельности: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360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Образовательные          9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360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Другие источники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jc w:val="both"/>
        <w:spacing w:before="24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Полученный доход направляется на обеспечение образовательного процесса: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1"/>
        <w:jc w:val="both"/>
        <w:spacing w:before="240"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Оплата труда преподавательского и учебно-вспомогательного персонала с учетом начислений на ФОТ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     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1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Приобретение ОС, оборудования и материалов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1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Ремонт содержание и обслуживание ОС и оборудования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0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Приобретение учебно-практических пособий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0,4%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0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Аренда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0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Консультационные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юридические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услуги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0,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0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Услуги связи и интернет                                                                    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0,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0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Коммунальные услуги                                                                       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,1%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Реклама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маркетинговые мероприятия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360"/>
        <w:jc w:val="both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Прочие затраты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  <w:t xml:space="preserve">            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Динамика показателей деятельности Колледжа по основным статьям доходов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2476"/>
        <w:gridCol w:w="2406"/>
        <w:gridCol w:w="24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2022- факт/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 2021- факт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2023факт/           2022факт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2024план/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2023факт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&gt; на 46,5 %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&gt;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36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,0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8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&gt;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на 13,5%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Образовательные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&gt;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на  48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,5 %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&gt;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4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2,5%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&gt;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на 15,9%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Другие источники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&gt; на 10,9 %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&lt;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на 26,3%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val="en-US" w:eastAsia="ru-RU"/>
              </w:rPr>
              <w:t xml:space="preserve">&lt;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на 26,4%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Из таблицы видна динамика стабильного увеличения фактических доходов за 202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г, 202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 по сравнению с фактическими доходами предыдущих годов. Увеличение доходов по образовательным услугам в динамике произошло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основном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за счет увеличения контингента и повышения стоимости образовательных услуг за этот период на процент инфляции. В 202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г. запланировано увеличение доходов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13,5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 по сравнению с 202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Динамика структуры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за 5 лет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основных статей расходов на обеспечение образовательного процесса представлен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таблице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Динамика показателей деятельности Колледжа по основным статьям расходов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845"/>
        <w:gridCol w:w="814"/>
        <w:gridCol w:w="810"/>
        <w:gridCol w:w="813"/>
        <w:gridCol w:w="81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2020 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2021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2022 факт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факт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2024 план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Оплата труда преподавательского и учебно-вспомогательного персонала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48,1%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45,7%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50,9%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43,9%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47,1%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Приобретение ОС, оборудования и материалов, обслуживание и ремонт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14,0%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15,8%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18,5%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7,1%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8,7%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Приобретение УПП в том числе: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0,5%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0,4%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0,5%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0,3%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0,4%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Формирование библиотеки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0,5%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0,4%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0,5%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0,1%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0,1%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Аренда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11,2%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26,1%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25,0%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20,3%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21,4%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Консультационные, юридические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0,1%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0,1%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0,1%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0,6%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0,7%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Прочие затраты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26,1%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11,9%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5,0%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27,8%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21,6%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432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настоящее время финансово-экономичес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кий отдел Колледжа ведет управленческий учет по проектам. Решение данной задачи позволяет использовать имеющиеся в распоряжении Колледжа денежные средства более рационально и с наибольшей отдачей в целях наилучшего обеспечения образовательной деятельности.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Times New Roman">
    <w:panose1 w:val="02020603050405020304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  <w:lvlOverride w:ilvl="0">
      <w:startOverride w:val="6"/>
      <w:lvl w:ilvl="0">
        <w:start w:val="6"/>
        <w:numFmt w:val="decimal"/>
        <w:isLgl w:val="false"/>
        <w:suff w:val="tab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isLgl w:val="false"/>
        <w:suff w:val="tab"/>
        <w:lvlText w:val=""/>
        <w:lvlJc w:val="left"/>
        <w:pPr/>
      </w:lvl>
    </w:lvlOverride>
    <w:lvlOverride w:ilvl="2">
      <w:startOverride w:val="1"/>
      <w:lvl w:ilvl="2">
        <w:start w:val="1"/>
        <w:numFmt w:val="decimal"/>
        <w:isLgl w:val="false"/>
        <w:suff w:val="tab"/>
        <w:lvlText w:val=""/>
        <w:lvlJc w:val="left"/>
        <w:pPr/>
      </w:lvl>
    </w:lvlOverride>
    <w:lvlOverride w:ilvl="3">
      <w:startOverride w:val="1"/>
      <w:lvl w:ilvl="3">
        <w:start w:val="1"/>
        <w:numFmt w:val="decimal"/>
        <w:isLgl w:val="false"/>
        <w:suff w:val="tab"/>
        <w:lvlText w:val=""/>
        <w:lvlJc w:val="left"/>
        <w:pPr/>
      </w:lvl>
    </w:lvlOverride>
    <w:lvlOverride w:ilvl="4">
      <w:startOverride w:val="1"/>
      <w:lvl w:ilvl="4">
        <w:start w:val="1"/>
        <w:numFmt w:val="decimal"/>
        <w:isLgl w:val="false"/>
        <w:suff w:val="tab"/>
        <w:lvlText w:val=""/>
        <w:lvlJc w:val="left"/>
        <w:pPr/>
      </w:lvl>
    </w:lvlOverride>
    <w:lvlOverride w:ilvl="5">
      <w:startOverride w:val="1"/>
      <w:lvl w:ilvl="5">
        <w:start w:val="1"/>
        <w:numFmt w:val="decimal"/>
        <w:isLgl w:val="false"/>
        <w:suff w:val="tab"/>
        <w:lvlText w:val=""/>
        <w:lvlJc w:val="left"/>
        <w:pPr/>
      </w:lvl>
    </w:lvlOverride>
    <w:lvlOverride w:ilvl="6">
      <w:startOverride w:val="1"/>
      <w:lvl w:ilvl="6">
        <w:start w:val="1"/>
        <w:numFmt w:val="decimal"/>
        <w:isLgl w:val="false"/>
        <w:suff w:val="tab"/>
        <w:lvlText w:val=""/>
        <w:lvlJc w:val="left"/>
        <w:pPr/>
      </w:lvl>
    </w:lvlOverride>
    <w:lvlOverride w:ilvl="7">
      <w:startOverride w:val="1"/>
      <w:lvl w:ilvl="7">
        <w:start w:val="1"/>
        <w:numFmt w:val="decimal"/>
        <w:isLgl w:val="false"/>
        <w:suff w:val="tab"/>
        <w:lvlText w:val=""/>
        <w:lvlJc w:val="left"/>
        <w:pPr/>
      </w:lvl>
    </w:lvlOverride>
    <w:lvlOverride w:ilvl="8">
      <w:startOverride w:val="1"/>
      <w:lvl w:ilvl="8">
        <w:start w:val="1"/>
        <w:numFmt w:val="decimal"/>
        <w:isLgl w:val="false"/>
        <w:suff w:val="tab"/>
        <w:lvlText w:val=""/>
        <w:lvlJc w:val="left"/>
        <w:pPr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  <w:pPr>
      <w:spacing w:line="256" w:lineRule="auto"/>
    </w:p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Садияева Марина Яралиевна</dc:creator>
  <cp:keywords/>
  <dc:description/>
  <cp:lastModifiedBy>Оксана Базанова</cp:lastModifiedBy>
  <cp:revision>5</cp:revision>
  <dcterms:created xsi:type="dcterms:W3CDTF">2024-01-29T15:45:00Z</dcterms:created>
  <dcterms:modified xsi:type="dcterms:W3CDTF">2024-01-31T12:44:33Z</dcterms:modified>
</cp:coreProperties>
</file>